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AD644A">
        <w:rPr>
          <w:sz w:val="24"/>
          <w:szCs w:val="24"/>
          <w:lang w:val="ro-RO"/>
        </w:rPr>
        <w:t>ANEXA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Pr="004F78EB">
        <w:rPr>
          <w:w w:val="89"/>
          <w:sz w:val="24"/>
          <w:szCs w:val="24"/>
          <w:lang w:val="ro-RO"/>
        </w:rPr>
        <w:t>4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B744EF" w:rsidRDefault="00B53EC2" w:rsidP="00FC7DB0">
      <w:pPr>
        <w:jc w:val="both"/>
        <w:rPr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B744EF">
        <w:rPr>
          <w:sz w:val="24"/>
          <w:szCs w:val="24"/>
        </w:rPr>
        <w:t xml:space="preserve">ANEXA </w:t>
      </w:r>
      <w:r w:rsidRPr="00FC7DB0">
        <w:rPr>
          <w:spacing w:val="-7"/>
          <w:sz w:val="24"/>
          <w:szCs w:val="24"/>
          <w:lang w:val="ro-RO"/>
        </w:rPr>
        <w:t>n</w:t>
      </w:r>
      <w:r w:rsidRPr="00FC7DB0">
        <w:rPr>
          <w:spacing w:val="-2"/>
          <w:sz w:val="24"/>
          <w:szCs w:val="24"/>
          <w:lang w:val="ro-RO"/>
        </w:rPr>
        <w:t>r</w:t>
      </w:r>
      <w:r w:rsidRPr="00FC7DB0">
        <w:rPr>
          <w:spacing w:val="-5"/>
          <w:sz w:val="24"/>
          <w:szCs w:val="24"/>
          <w:lang w:val="ro-RO"/>
        </w:rPr>
        <w:t>.</w:t>
      </w:r>
      <w:r w:rsidR="003D5E00" w:rsidRPr="00FC7DB0">
        <w:rPr>
          <w:spacing w:val="-5"/>
          <w:sz w:val="24"/>
          <w:szCs w:val="24"/>
          <w:lang w:val="ro-RO"/>
        </w:rPr>
        <w:t xml:space="preserve"> </w:t>
      </w:r>
      <w:r w:rsidRPr="00FC7DB0">
        <w:rPr>
          <w:sz w:val="24"/>
          <w:szCs w:val="24"/>
          <w:lang w:val="ro-RO"/>
        </w:rPr>
        <w:t>5</w:t>
      </w:r>
    </w:p>
    <w:p w:rsidR="00654FD1" w:rsidRPr="00B744EF" w:rsidRDefault="00654FD1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FE1FFA">
        <w:rPr>
          <w:sz w:val="24"/>
          <w:szCs w:val="24"/>
        </w:rPr>
        <w:t>Anexa nr.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rFonts w:cs="Times New Roman"/>
          <w:color w:val="2F2F2F"/>
          <w:sz w:val="24"/>
          <w:szCs w:val="24"/>
          <w:lang w:val="ro-RO"/>
        </w:rPr>
        <w:t>6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lastRenderedPageBreak/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628BD">
        <w:rPr>
          <w:b/>
          <w:sz w:val="24"/>
          <w:szCs w:val="24"/>
          <w:lang w:val="ro-RO"/>
        </w:rPr>
        <w:t>Anexa nr. 7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AF1423">
        <w:rPr>
          <w:rFonts w:ascii="Times New Roman" w:hAnsi="Times New Roman" w:cs="Times New Roman"/>
          <w:sz w:val="24"/>
          <w:szCs w:val="24"/>
        </w:rPr>
        <w:t>articolului</w:t>
      </w:r>
      <w:r w:rsidRPr="00CD60EB">
        <w:rPr>
          <w:sz w:val="24"/>
          <w:szCs w:val="24"/>
        </w:rPr>
        <w:t xml:space="preserve">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4F68AF" w:rsidRPr="00CD60EB" w:rsidRDefault="004F68AF" w:rsidP="0073414B">
      <w:pPr>
        <w:pStyle w:val="ListParagraph"/>
        <w:ind w:left="714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CD1133">
      <w:pPr>
        <w:rPr>
          <w:sz w:val="24"/>
          <w:szCs w:val="24"/>
        </w:rPr>
      </w:pPr>
    </w:p>
    <w:p w:rsidR="004A3025" w:rsidRDefault="00CD1133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3025">
        <w:rPr>
          <w:sz w:val="24"/>
          <w:szCs w:val="24"/>
        </w:rPr>
        <w:t>DECLARAŢIE</w:t>
      </w:r>
    </w:p>
    <w:p w:rsidR="004A3025" w:rsidRDefault="004A3025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Anexa nr.8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1" w:name="do|ax12^G|pa1"/>
      <w:bookmarkEnd w:id="1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4"/>
      <w:bookmarkEnd w:id="2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5"/>
      <w:bookmarkEnd w:id="3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4" w:name="do|ax12^G|pa6"/>
      <w:bookmarkEnd w:id="4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5" w:name="do|ax12^G|pa7"/>
      <w:bookmarkEnd w:id="5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6" w:name="do|ax12^G|pa8"/>
      <w:bookmarkEnd w:id="6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7" w:name="do|ax12^G|pa9"/>
      <w:bookmarkEnd w:id="7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 Anexa nr. 9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MUNICIPIUL SIGHIȘOARA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contractului/comenzii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contractului/comenzii)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derularea în comun a contractului de achiziţie publică/comenzii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Repartizarea beneficiilor sau pierderilor rezultate din activităţile comune desfăşurate de </w:t>
      </w:r>
      <w:r>
        <w:rPr>
          <w:sz w:val="24"/>
          <w:szCs w:val="24"/>
          <w:lang w:val="fr-FR"/>
        </w:rPr>
        <w:lastRenderedPageBreak/>
        <w:t>asociaţi se va efectua proporţional cu cota de participare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1133" w:rsidRPr="00CD1133" w:rsidRDefault="00CD1133" w:rsidP="00CD1133">
      <w:pPr>
        <w:spacing w:line="48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Anexa nr. 10  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 ______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</w:t>
      </w:r>
      <w:proofErr w:type="gramStart"/>
      <w:r>
        <w:rPr>
          <w:i/>
          <w:sz w:val="24"/>
          <w:szCs w:val="24"/>
        </w:rPr>
        <w:t>denumirea/numele</w:t>
      </w:r>
      <w:proofErr w:type="gramEnd"/>
      <w:r>
        <w:rPr>
          <w:i/>
          <w:sz w:val="24"/>
          <w:szCs w:val="24"/>
        </w:rPr>
        <w:t xml:space="preserve"> operatorului economic)</w:t>
      </w:r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CENTRALIZATOR PRETURI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Anexa – Formular de oferta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:rsidR="00810FC9" w:rsidRPr="00695429" w:rsidRDefault="00810FC9" w:rsidP="00810FC9">
      <w:pPr>
        <w:rPr>
          <w:rFonts w:ascii="Trebuchet MS" w:hAnsi="Trebuchet MS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D3429" w:rsidRPr="00D968B3" w:rsidRDefault="00D968B3" w:rsidP="008D3429">
      <w:pPr>
        <w:pStyle w:val="Heading1"/>
        <w:rPr>
          <w:sz w:val="24"/>
          <w:szCs w:val="24"/>
          <w:lang w:val="ro-RO"/>
        </w:rPr>
      </w:pPr>
      <w:bookmarkStart w:id="8" w:name="_Toc239572966"/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</w:t>
      </w:r>
      <w:r w:rsidR="008D3429" w:rsidRPr="00D968B3">
        <w:rPr>
          <w:sz w:val="24"/>
          <w:szCs w:val="24"/>
          <w:lang w:val="ro-RO"/>
        </w:rPr>
        <w:t>Anexa nr. 1</w:t>
      </w:r>
      <w:bookmarkEnd w:id="8"/>
      <w:r>
        <w:rPr>
          <w:sz w:val="24"/>
          <w:szCs w:val="24"/>
          <w:lang w:val="ro-RO"/>
        </w:rPr>
        <w:t>1</w:t>
      </w:r>
    </w:p>
    <w:p w:rsidR="008D3429" w:rsidRPr="00C755A0" w:rsidRDefault="008D3429" w:rsidP="008D3429">
      <w:pPr>
        <w:rPr>
          <w:b/>
          <w:lang w:val="ro-RO"/>
        </w:rPr>
      </w:pP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:rsidR="008D3429" w:rsidRPr="00C755A0" w:rsidRDefault="008D3429" w:rsidP="008D3429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 xml:space="preserve">DECLARAŢIE 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PRIVIND LISTA PRINCIPALELOR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PRESTĂRI DE SERVICII ÎN ULTIMII 3 ANI</w:t>
      </w:r>
    </w:p>
    <w:p w:rsidR="008D3429" w:rsidRPr="00C755A0" w:rsidRDefault="008D3429" w:rsidP="008D3429">
      <w:pPr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rPr>
          <w:i/>
          <w:iCs/>
          <w:lang w:val="ro-RO"/>
        </w:rPr>
        <w:sectPr w:rsidR="008D3429" w:rsidRPr="00C755A0" w:rsidSect="005D3D96">
          <w:pgSz w:w="11907" w:h="16840" w:code="9"/>
          <w:pgMar w:top="1134" w:right="924" w:bottom="1134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:rsidR="008D3429" w:rsidRPr="00C755A0" w:rsidRDefault="008D3429" w:rsidP="008D3429">
      <w:pPr>
        <w:rPr>
          <w:lang w:val="ro-RO" w:eastAsia="ro-RO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51"/>
        <w:gridCol w:w="850"/>
        <w:gridCol w:w="1785"/>
        <w:gridCol w:w="1629"/>
        <w:gridCol w:w="1251"/>
        <w:gridCol w:w="1136"/>
        <w:gridCol w:w="1204"/>
      </w:tblGrid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Obiect contract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8D3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Denumirea/nume beneficiar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/client</w:t>
            </w:r>
          </w:p>
          <w:p w:rsidR="008D3429" w:rsidRPr="005A26E6" w:rsidRDefault="008D3429" w:rsidP="00EB3996">
            <w:pPr>
              <w:jc w:val="center"/>
              <w:rPr>
                <w:lang w:val="it-IT"/>
              </w:rPr>
            </w:pP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 xml:space="preserve">Calitatea prestatorului*) </w:t>
            </w: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Preţ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total contract</w:t>
            </w: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/>
              </w:rPr>
            </w:pPr>
          </w:p>
          <w:p w:rsidR="008D3429" w:rsidRPr="005A26E6" w:rsidRDefault="008D3429" w:rsidP="00EB3996">
            <w:pPr>
              <w:rPr>
                <w:vertAlign w:val="superscript"/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</w:tbl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jc w:val="center"/>
        <w:rPr>
          <w:i/>
          <w:lang w:val="ro-RO"/>
        </w:rPr>
      </w:pPr>
      <w:r>
        <w:rPr>
          <w:lang w:val="ro-RO"/>
        </w:rPr>
        <w:t>O</w:t>
      </w:r>
      <w:r w:rsidRPr="00C755A0">
        <w:rPr>
          <w:lang w:val="ro-RO"/>
        </w:rPr>
        <w:t>perator economic,</w:t>
      </w:r>
      <w:r w:rsidRPr="00C755A0">
        <w:rPr>
          <w:i/>
          <w:lang w:val="ro-RO"/>
        </w:rPr>
        <w:t xml:space="preserve"> </w:t>
      </w:r>
    </w:p>
    <w:p w:rsidR="008D3429" w:rsidRPr="00C755A0" w:rsidRDefault="008D3429" w:rsidP="008D3429">
      <w:pPr>
        <w:jc w:val="center"/>
        <w:rPr>
          <w:i/>
          <w:lang w:val="ro-RO"/>
        </w:rPr>
      </w:pPr>
      <w:r w:rsidRPr="00C755A0">
        <w:rPr>
          <w:i/>
          <w:lang w:val="ro-RO"/>
        </w:rPr>
        <w:t>(semnătură autorizată)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:rsidR="008D3429" w:rsidRPr="00C755A0" w:rsidRDefault="008D3429" w:rsidP="008D3429">
      <w:pPr>
        <w:jc w:val="both"/>
        <w:rPr>
          <w:lang w:val="ro-RO"/>
        </w:rPr>
      </w:pPr>
      <w:r w:rsidRPr="00C755A0">
        <w:rPr>
          <w:lang w:val="ro-RO"/>
        </w:rPr>
        <w:t>**) Se va preciza data de începere şi de finalizare a prestării.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1AC9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6009B"/>
    <w:rsid w:val="00761FEF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372C-2F51-4C06-B92D-FA30E73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3086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3020</cp:lastModifiedBy>
  <cp:revision>30</cp:revision>
  <cp:lastPrinted>2017-05-17T09:38:00Z</cp:lastPrinted>
  <dcterms:created xsi:type="dcterms:W3CDTF">2017-05-17T08:12:00Z</dcterms:created>
  <dcterms:modified xsi:type="dcterms:W3CDTF">2017-06-12T12:49:00Z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