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  <w:bookmarkStart w:id="0" w:name="_GoBack"/>
      <w:bookmarkEnd w:id="0"/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Pr="004F78EB">
        <w:rPr>
          <w:w w:val="89"/>
          <w:sz w:val="24"/>
          <w:szCs w:val="24"/>
          <w:lang w:val="ro-RO"/>
        </w:rPr>
        <w:t>4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Pr="00FC7DB0">
        <w:rPr>
          <w:sz w:val="24"/>
          <w:szCs w:val="24"/>
          <w:lang w:val="ro-RO"/>
        </w:rPr>
        <w:t>5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rFonts w:cs="Times New Roman"/>
          <w:color w:val="2F2F2F"/>
          <w:sz w:val="24"/>
          <w:szCs w:val="24"/>
          <w:lang w:val="ro-RO"/>
        </w:rPr>
        <w:t>6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>Anexa nr. 7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Anexa nr.8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DECLARAŢIE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1" w:name="do|ax12^G|pa1"/>
      <w:bookmarkEnd w:id="1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4"/>
      <w:bookmarkEnd w:id="2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5"/>
      <w:bookmarkEnd w:id="3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4" w:name="do|ax12^G|pa6"/>
      <w:bookmarkEnd w:id="4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5" w:name="do|ax12^G|pa7"/>
      <w:bookmarkEnd w:id="5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6" w:name="do|ax12^G|pa8"/>
      <w:bookmarkEnd w:id="6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7" w:name="do|ax12^G|pa9"/>
      <w:bookmarkEnd w:id="7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9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Anexa nr. 10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>Anexa nr. 1</w:t>
      </w:r>
      <w:bookmarkEnd w:id="8"/>
      <w:r>
        <w:rPr>
          <w:sz w:val="24"/>
          <w:szCs w:val="24"/>
          <w:lang w:val="ro-RO"/>
        </w:rPr>
        <w:t>1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94A7A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E6FA-F1BC-4B96-B012-E9CD2E36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Gabi</cp:lastModifiedBy>
  <cp:revision>2</cp:revision>
  <cp:lastPrinted>2017-05-17T09:38:00Z</cp:lastPrinted>
  <dcterms:created xsi:type="dcterms:W3CDTF">2017-07-20T10:49:00Z</dcterms:created>
  <dcterms:modified xsi:type="dcterms:W3CDTF">2017-07-20T10:49:00Z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